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141</w:t>
      </w:r>
    </w:p>
    <w:p>
      <w:r>
        <w:t>Bundesgericht (BGE), 1981-05-21, DE</w:t>
      </w:r>
    </w:p>
    <w:p>
      <w:r>
        <w:rPr>
          <w:b/>
        </w:rPr>
        <w:t xml:space="preserve">Quelle: </w:t>
      </w:r>
      <w:r>
        <w:t>https://mcp.opencaselaw.ch/entscheid/bge_107 II 141</w:t>
      </w:r>
    </w:p>
    <w:p>
      <w:r>
        <w:t>FR: ATF 107 II 141</w:t>
      </w:r>
    </w:p>
    <w:p>
      <w:r>
        <w:t>IT: DTF 107 II 141</w:t>
      </w:r>
    </w:p>
    <w:p>
      <w:pPr>
        <w:pStyle w:val="Heading2"/>
      </w:pPr>
      <w:r>
        <w:t>Regeste</w:t>
      </w:r>
    </w:p>
    <w:p>
      <w:r>
        <w:t>Regeste Stockwerkeigentum; Tragung der Kosten für Arbeiten an einem Gebäude, das in Stockwerkeigentumseinheiten aufgeteilt ist (Art. 712h ZGB).</w:t>
      </w:r>
    </w:p>
    <w:p>
      <w:pPr>
        <w:pStyle w:val="Heading2"/>
      </w:pPr>
      <w:r>
        <w:t>Erwägungen</w:t>
      </w:r>
    </w:p>
    <w:p>
      <w:r>
        <w:rPr>
          <w:b/>
        </w:rPr>
        <w:t>E. 2</w:t>
      </w:r>
    </w:p>
    <w:p>
      <w:r>
        <w:t>Die kantonalen Instanzen haben die strittigen Beschlüsse aufgehoben, ohne zur Frage Stellung zu nehmen, ob es sich bei den Sanierungsarbeiten um notwendige Massnahmen im Sinne von Art. 647c ZGB handle, die mit gewöhnlicher Mehrheit beschlossen werden können. Sie haben angenommen, dass von Unterhaltsarbeiten, die zu Lasten aller Stockwerkeigentümer gehen würden, nicht gesprochen werden könne; es seien vielmehr eigentliche BGE 107 II 141 S. 143 Fertigstellungs- oder Garantiearbeiten infolge der mangelhaften Bauausführung durch den ehemaligen Eigentümer und Bauunternehmer Duss. Unterhaltsarbeiten zu Lasten der ganzen Gemeinschaft würden ihrer Natur nach voraussetzen, dass ein Bau vorerst mängelfrei erstellt worden sei. An dieser Voraussetzung fehle es hier, weshalb die Kosten für die Behebung dieser Mängel nicht allen Stockwerkeigentümern entsprechend den Wertquoten überbunden werden könnten. Die Frage, ob die angefochtenen Beschlüsse überhaupt mit der erforderlichen Mehrheit zustandegekommen seien, haben die Parteien nicht wieder aufgegriffen. Sie kann deshalb auch im Verfahren vor Bundesgericht offen bleiben. Immerhin sei festgehalten, dass die Behebung von Mängeln an gemeinschaftlichen Bauteilen in aller Regel zur Erhaltung des Wertes eines Hauses nötig und dass sie deshalb grundsätzlich als notwendige bauliche Massnahme im Sinne von Art. 647c ZGB zu betrachten ist.</w:t>
      </w:r>
    </w:p>
    <w:p>
      <w:r>
        <w:rPr>
          <w:b/>
        </w:rPr>
        <w:t>E. 3</w:t>
      </w:r>
    </w:p>
    <w:p>
      <w:r>
        <w:t>In der Berufung wird die Auffassung vertreten, bei den Kosten der beschlossenen Sanierung handle es sich entgegen dem angefochtenen Entscheid um solche gemeinschaftlicher Art im Sinne von Ziff. 16 des hier massgebenden Stockwerkeigentümerreglementes und Art. 712h Abs. 2 ZGB , um Kosten also, die von sämtlichen Stockwerkeigentümern nach Massgabe der Wertquoten zu tragen seien. Die Tragung der Kosten für Arbeiten an einem Gebäude, das in Stockwerkeigentumseinheiten aufgeteilt ist, hängt letztlich nicht von der Natur der Arbeiten ab, sondern vom Gebäudeteil, an dem sie ausgeführt wurden bzw. ausgeführt werden sollen. Beziehen sich solche Aufwendungen auf Teile des Gebäudes, die im Sonderrecht eines Stockwerkeigentümers stehen, gehen sie ausschliesslich zu dessen Lasten. Durch die von den Klägern angefochtenen Beschlüsse wurden unter anderem Sanierungsmassnahmen bezüglich verschiedener Wohnungen im Hause I angeordnet, wobei nicht ersichtlich ist, was für Arbeiten im einzelnen ausgeführt werden sollen. Soweit diese ausschliesslich im Interesse der betreffenden Stockwerkeigentümer liegen, sind sie auch von diesen allein zu bezahlen. Was sodann die Sanierungsarbeiten an gemeinschaftlichen Teilen des Hauses I betrifft, so ist Art. 712h Abs. 3 ZGB zu beachten, wonach für den Fall, dass die in Frage stehenden gemeinschaftlichen Bauteile, Anlagen oder Einrichtungen einzelnen Stockwerkeinheiten nicht oder nur in ganz geringem Masse dienen, dies bei BGE 107 II 141 S. 144 der Verteilung der Kosten zu berücksichtigen ist. Hierbei handelt es sich um eine zwingende Bestimmung (FRIEDRICH, Das Stockwerkeigentum, 2. A., S. 96, N. 1 zu § 19, und S. 98, N. 11 zu § 19). Dem angefochtenen Urteil ist zu entnehmen, dass das Haus I insofern auch den Eigentümern der Stockwerkeinheiten in den Häusern II und III dient, als sich darin beispielsweise die Heizungsanlage für die gesamte Überbauung befindet. An Kosten, die einen derartigen Teil des Hauses I betreffen, haben sich - rechtsgültiger Beschluss vorausgesetzt - sämtliche Mitglieder der Stockwerkeigentümergemeinschaft zu beteiligen, nicht aber an solchen für Arbeiten an gemeinschaftlichen Teilen, die ausschliesslich den Inhabern von Wohnungen und Garagen in diesem Haus zugutekommen. Nach dem Gesagten haben die kantonalen Instanzen die angefochtenen Beschlüsse, durch die Sanierungskosten ohne Rücksicht darauf, welche Teile des Hauses I sie betreffen, allen Stockwerkeigentümern nach Wertquoten auferlegt wurden, zu Recht aufgehoben. Die Stockwerkeigentümergemeinschaft wird nun - unter Beachtung der Art. 647c ff. ZGB - über die Sanierungsmassnahmen bzw. über die Verteilung der entsprechenden Kosten neu zu beschliessen haben. Sollte sich dabei ergeben, dass gewisse Arbeiten unumgänglich sind, um Anlagen die - wie beispielsweise die Heizung - allen Stockwerkeinheiten in gleichem Masse dienen, gebrauchsfähig zu erhalten, so müssten auch die Kläger entsprechend den Wertquoten an die Kosten beitragen. Dies gilt insoweit auch für die Behebung von Baumängeln, als der zur Gewährleistung verpflichtete Bauunternehmer bzw. Verkäufer dafür nicht mehr sollte herangezogen werden können (vgl. BGE 106 II 21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